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01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Question - answer - reflection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Capture an idea, explain it accurately, then make the philosophical link.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000"/>
        <w:gridCol w:w="4800"/>
        <w:gridCol w:w="3000"/>
      </w:tblGrid>
      <w:tr>
        <w:trPr>
          <w:tblHeader w:val="true"/>
        </w:trPr>
        <w:tc>
          <w:tcPr>
            <w:tcW w:type="dxa" w:w="30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Question / prompt</w:t>
            </w:r>
          </w:p>
        </w:tc>
        <w:tc>
          <w:tcPr>
            <w:tcW w:type="dxa" w:w="48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Answer / explanation</w:t>
            </w:r>
          </w:p>
        </w:tc>
        <w:tc>
          <w:tcPr>
            <w:tcW w:type="dxa" w:w="30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Reflection / link</w:t>
            </w:r>
          </w:p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sectPr>
      <w:footerReference w:type="default" r:id="rId9"/>
      <w:pgSz w:w="11906" w:h="16838"/>
      <w:pgMar w:top="709" w:right="709" w:bottom="709" w:left="709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Question - answer - reflection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 - Answer - Reflection Note Template</dc:title>
  <dc:subject>A4 philosophy note-taking approach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